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C312E">
        <w:tc>
          <w:tcPr>
            <w:tcW w:w="2518" w:type="dxa"/>
          </w:tcPr>
          <w:p w:rsidR="006C312E" w:rsidRDefault="002531CE">
            <w:pPr>
              <w:framePr w:w="2268" w:hSpace="181" w:wrap="notBeside" w:vAnchor="text" w:hAnchor="page" w:x="8313" w:y="279"/>
              <w:ind w:left="284" w:right="317"/>
              <w:jc w:val="center"/>
              <w:rPr>
                <w:noProof/>
                <w:lang w:val="fr-CA"/>
              </w:rPr>
            </w:pPr>
            <w:bookmarkStart w:id="0" w:name="Date"/>
            <w:bookmarkEnd w:id="0"/>
            <w:r>
              <w:rPr>
                <w:noProof/>
                <w:lang w:val="fr-CA"/>
              </w:rPr>
              <w:t>20 juil/Jul 2015</w:t>
            </w:r>
          </w:p>
        </w:tc>
      </w:tr>
      <w:tr w:rsidR="006C312E">
        <w:tc>
          <w:tcPr>
            <w:tcW w:w="2518" w:type="dxa"/>
          </w:tcPr>
          <w:p w:rsidR="006C312E" w:rsidRDefault="006C312E">
            <w:pPr>
              <w:framePr w:w="2268" w:hSpace="181" w:wrap="notBeside" w:vAnchor="text" w:hAnchor="page" w:x="8313" w:y="279"/>
              <w:tabs>
                <w:tab w:val="left" w:pos="-720"/>
              </w:tabs>
              <w:suppressAutoHyphens/>
              <w:ind w:left="284" w:right="317"/>
              <w:rPr>
                <w:rFonts w:ascii="Arial" w:hAnsi="Arial"/>
                <w:noProof/>
                <w:spacing w:val="-3"/>
                <w:sz w:val="12"/>
                <w:lang w:val="fr-CA"/>
              </w:rPr>
            </w:pPr>
            <w:r>
              <w:rPr>
                <w:rFonts w:ascii="Arial" w:hAnsi="Arial"/>
                <w:i/>
                <w:noProof/>
                <w:spacing w:val="-1"/>
                <w:sz w:val="12"/>
                <w:lang w:val="fr-CA"/>
              </w:rPr>
              <w:t>Votre référence   Your File</w:t>
            </w:r>
          </w:p>
          <w:p w:rsidR="006C312E" w:rsidRDefault="002531CE">
            <w:pPr>
              <w:framePr w:w="2268" w:hSpace="181" w:wrap="notBeside" w:vAnchor="text" w:hAnchor="page" w:x="8313" w:y="279"/>
              <w:ind w:left="284" w:right="317"/>
              <w:jc w:val="center"/>
              <w:rPr>
                <w:noProof/>
                <w:lang w:val="fr-CA"/>
              </w:rPr>
            </w:pPr>
            <w:bookmarkStart w:id="1" w:name="Reference"/>
            <w:bookmarkEnd w:id="1"/>
            <w:r>
              <w:rPr>
                <w:noProof/>
                <w:lang w:val="fr-CA"/>
              </w:rPr>
              <w:t>tmrn-3538</w:t>
            </w:r>
          </w:p>
        </w:tc>
      </w:tr>
      <w:tr w:rsidR="006C312E">
        <w:tc>
          <w:tcPr>
            <w:tcW w:w="2518" w:type="dxa"/>
          </w:tcPr>
          <w:p w:rsidR="006C312E" w:rsidRDefault="006C312E">
            <w:pPr>
              <w:framePr w:w="2268" w:hSpace="181" w:wrap="notBeside" w:vAnchor="text" w:hAnchor="page" w:x="8313" w:y="279"/>
              <w:tabs>
                <w:tab w:val="left" w:pos="-720"/>
              </w:tabs>
              <w:suppressAutoHyphens/>
              <w:ind w:left="284" w:right="317"/>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C312E" w:rsidRDefault="002531CE">
            <w:pPr>
              <w:framePr w:w="2268" w:hSpace="181" w:wrap="notBeside" w:vAnchor="text" w:hAnchor="page" w:x="8313" w:y="279"/>
              <w:ind w:left="284" w:right="317"/>
              <w:jc w:val="center"/>
              <w:rPr>
                <w:noProof/>
                <w:lang w:val="fr-CA"/>
              </w:rPr>
            </w:pPr>
            <w:bookmarkStart w:id="2" w:name="OurFileNumber"/>
            <w:bookmarkEnd w:id="2"/>
            <w:r>
              <w:rPr>
                <w:noProof/>
                <w:lang w:val="fr-CA"/>
              </w:rPr>
              <w:t>1539953</w:t>
            </w:r>
          </w:p>
        </w:tc>
      </w:tr>
      <w:tr w:rsidR="006C312E">
        <w:tc>
          <w:tcPr>
            <w:tcW w:w="2518" w:type="dxa"/>
          </w:tcPr>
          <w:p w:rsidR="006C312E" w:rsidRDefault="006C312E">
            <w:pPr>
              <w:framePr w:w="2268" w:hSpace="181" w:wrap="notBeside" w:vAnchor="text" w:hAnchor="page" w:x="8313" w:y="279"/>
              <w:rPr>
                <w:noProof/>
                <w:lang w:val="fr-CA"/>
              </w:rPr>
            </w:pPr>
            <w:bookmarkStart w:id="3" w:name="Design"/>
            <w:bookmarkEnd w:id="3"/>
          </w:p>
        </w:tc>
      </w:tr>
    </w:tbl>
    <w:p w:rsidR="006C312E" w:rsidRDefault="006C312E">
      <w:pPr>
        <w:pStyle w:val="Header"/>
        <w:sectPr w:rsidR="006C312E">
          <w:headerReference w:type="default" r:id="rId7"/>
          <w:footerReference w:type="default" r:id="rId8"/>
          <w:type w:val="continuous"/>
          <w:pgSz w:w="12240" w:h="15840" w:code="1"/>
          <w:pgMar w:top="1984" w:right="1440" w:bottom="720" w:left="1440" w:header="652" w:footer="170" w:gutter="0"/>
          <w:cols w:space="720"/>
          <w:noEndnote/>
          <w:docGrid w:linePitch="272"/>
        </w:sectPr>
      </w:pPr>
    </w:p>
    <w:tbl>
      <w:tblPr>
        <w:tblW w:w="0" w:type="auto"/>
        <w:tblLayout w:type="fixed"/>
        <w:tblLook w:val="0000" w:firstRow="0" w:lastRow="0" w:firstColumn="0" w:lastColumn="0" w:noHBand="0" w:noVBand="0"/>
      </w:tblPr>
      <w:tblGrid>
        <w:gridCol w:w="959"/>
        <w:gridCol w:w="2126"/>
        <w:gridCol w:w="3523"/>
      </w:tblGrid>
      <w:tr w:rsidR="006C312E" w:rsidTr="00A12D00">
        <w:tc>
          <w:tcPr>
            <w:tcW w:w="6608" w:type="dxa"/>
            <w:gridSpan w:val="3"/>
          </w:tcPr>
          <w:p w:rsidR="002531CE" w:rsidRDefault="002531CE">
            <w:pPr>
              <w:framePr w:hSpace="181" w:wrap="notBeside" w:vAnchor="text" w:hAnchor="page" w:x="1460" w:y="42"/>
              <w:spacing w:line="180" w:lineRule="exact"/>
              <w:rPr>
                <w:noProof/>
                <w:sz w:val="18"/>
              </w:rPr>
            </w:pPr>
            <w:bookmarkStart w:id="4" w:name="MailingAddress"/>
            <w:bookmarkEnd w:id="4"/>
            <w:r>
              <w:rPr>
                <w:noProof/>
                <w:sz w:val="18"/>
              </w:rPr>
              <w:t>FINLAYSON &amp; SINGLEHURST</w:t>
            </w:r>
          </w:p>
          <w:p w:rsidR="002531CE" w:rsidRDefault="002531CE">
            <w:pPr>
              <w:framePr w:hSpace="181" w:wrap="notBeside" w:vAnchor="text" w:hAnchor="page" w:x="1460" w:y="42"/>
              <w:spacing w:line="180" w:lineRule="exact"/>
              <w:rPr>
                <w:noProof/>
                <w:sz w:val="18"/>
              </w:rPr>
            </w:pPr>
            <w:r>
              <w:rPr>
                <w:noProof/>
                <w:sz w:val="18"/>
              </w:rPr>
              <w:t>225 Metcalfe Street</w:t>
            </w:r>
          </w:p>
          <w:p w:rsidR="002531CE" w:rsidRDefault="002531CE">
            <w:pPr>
              <w:framePr w:hSpace="181" w:wrap="notBeside" w:vAnchor="text" w:hAnchor="page" w:x="1460" w:y="42"/>
              <w:spacing w:line="180" w:lineRule="exact"/>
              <w:rPr>
                <w:noProof/>
                <w:sz w:val="18"/>
              </w:rPr>
            </w:pPr>
            <w:r>
              <w:rPr>
                <w:noProof/>
                <w:sz w:val="18"/>
              </w:rPr>
              <w:t>Suite 700</w:t>
            </w:r>
          </w:p>
          <w:p w:rsidR="002531CE" w:rsidRDefault="002531CE">
            <w:pPr>
              <w:framePr w:hSpace="181" w:wrap="notBeside" w:vAnchor="text" w:hAnchor="page" w:x="1460" w:y="42"/>
              <w:spacing w:line="180" w:lineRule="exact"/>
              <w:rPr>
                <w:noProof/>
                <w:sz w:val="18"/>
              </w:rPr>
            </w:pPr>
            <w:r>
              <w:rPr>
                <w:noProof/>
                <w:sz w:val="18"/>
              </w:rPr>
              <w:t>Ottawa</w:t>
            </w:r>
          </w:p>
          <w:p w:rsidR="006C312E" w:rsidRDefault="002531CE">
            <w:pPr>
              <w:framePr w:hSpace="181" w:wrap="notBeside" w:vAnchor="text" w:hAnchor="page" w:x="1460" w:y="42"/>
              <w:spacing w:line="180" w:lineRule="exact"/>
              <w:rPr>
                <w:noProof/>
                <w:sz w:val="18"/>
              </w:rPr>
            </w:pPr>
            <w:r>
              <w:rPr>
                <w:noProof/>
                <w:sz w:val="18"/>
              </w:rPr>
              <w:t>ONTARIO K2P 1P9</w:t>
            </w:r>
          </w:p>
        </w:tc>
      </w:tr>
      <w:tr w:rsidR="006C312E" w:rsidTr="00A12D00">
        <w:tc>
          <w:tcPr>
            <w:tcW w:w="6608" w:type="dxa"/>
            <w:gridSpan w:val="3"/>
          </w:tcPr>
          <w:p w:rsidR="006C312E" w:rsidRDefault="006C312E">
            <w:pPr>
              <w:framePr w:hSpace="181" w:wrap="notBeside" w:vAnchor="text" w:hAnchor="page" w:x="1460" w:y="42"/>
              <w:spacing w:line="180" w:lineRule="exact"/>
              <w:rPr>
                <w:noProof/>
                <w:sz w:val="18"/>
              </w:rPr>
            </w:pPr>
            <w:bookmarkStart w:id="5" w:name="Attention"/>
            <w:bookmarkEnd w:id="5"/>
          </w:p>
          <w:p w:rsidR="006C312E" w:rsidRDefault="006C312E">
            <w:pPr>
              <w:framePr w:hSpace="181" w:wrap="notBeside" w:vAnchor="text" w:hAnchor="page" w:x="1460" w:y="42"/>
              <w:spacing w:line="180" w:lineRule="exact"/>
              <w:rPr>
                <w:noProof/>
                <w:sz w:val="18"/>
              </w:rPr>
            </w:pPr>
          </w:p>
        </w:tc>
      </w:tr>
      <w:tr w:rsidR="006C312E" w:rsidTr="00A12D00">
        <w:tc>
          <w:tcPr>
            <w:tcW w:w="959" w:type="dxa"/>
          </w:tcPr>
          <w:p w:rsidR="006C312E" w:rsidRDefault="006C312E">
            <w:pPr>
              <w:framePr w:hSpace="181" w:wrap="notBeside" w:vAnchor="text" w:hAnchor="page" w:x="1460" w:y="42"/>
              <w:rPr>
                <w:noProof/>
                <w:lang w:val="fr-CA"/>
              </w:rPr>
            </w:pPr>
            <w:r>
              <w:rPr>
                <w:noProof/>
                <w:sz w:val="22"/>
                <w:lang w:val="fr-CA"/>
              </w:rPr>
              <w:t>RE:</w:t>
            </w:r>
          </w:p>
        </w:tc>
        <w:tc>
          <w:tcPr>
            <w:tcW w:w="2126" w:type="dxa"/>
          </w:tcPr>
          <w:p w:rsidR="006C312E" w:rsidRDefault="002531CE">
            <w:pPr>
              <w:framePr w:wrap="auto" w:vAnchor="text" w:hAnchor="page" w:x="1460" w:y="42"/>
              <w:rPr>
                <w:noProof/>
                <w:lang w:val="fr-CA"/>
              </w:rPr>
            </w:pPr>
            <w:bookmarkStart w:id="6" w:name="TMHeader"/>
            <w:bookmarkEnd w:id="6"/>
            <w:r>
              <w:rPr>
                <w:noProof/>
                <w:lang w:val="fr-CA"/>
              </w:rPr>
              <w:t>Trade-mark</w:t>
            </w:r>
            <w:r w:rsidR="006C312E">
              <w:rPr>
                <w:noProof/>
                <w:lang w:val="fr-CA"/>
              </w:rPr>
              <w:t>:</w:t>
            </w:r>
          </w:p>
        </w:tc>
        <w:tc>
          <w:tcPr>
            <w:tcW w:w="3523" w:type="dxa"/>
          </w:tcPr>
          <w:p w:rsidR="006C312E" w:rsidRDefault="002531CE">
            <w:pPr>
              <w:framePr w:wrap="auto" w:vAnchor="text" w:hAnchor="page" w:x="1460" w:y="42"/>
              <w:rPr>
                <w:noProof/>
                <w:lang w:val="fr-CA"/>
              </w:rPr>
            </w:pPr>
            <w:bookmarkStart w:id="7" w:name="TradeMark"/>
            <w:bookmarkEnd w:id="7"/>
            <w:r>
              <w:rPr>
                <w:noProof/>
                <w:lang w:val="fr-CA"/>
              </w:rPr>
              <w:t>KING</w:t>
            </w:r>
          </w:p>
        </w:tc>
      </w:tr>
      <w:tr w:rsidR="006C312E" w:rsidTr="00A12D00">
        <w:tc>
          <w:tcPr>
            <w:tcW w:w="959" w:type="dxa"/>
          </w:tcPr>
          <w:p w:rsidR="006C312E" w:rsidRDefault="006C312E">
            <w:pPr>
              <w:framePr w:hSpace="181" w:wrap="notBeside" w:vAnchor="text" w:hAnchor="page" w:x="1460" w:y="42"/>
              <w:rPr>
                <w:noProof/>
                <w:lang w:val="fr-CA"/>
              </w:rPr>
            </w:pPr>
          </w:p>
        </w:tc>
        <w:tc>
          <w:tcPr>
            <w:tcW w:w="2126" w:type="dxa"/>
          </w:tcPr>
          <w:p w:rsidR="006C312E" w:rsidRDefault="006C312E">
            <w:pPr>
              <w:framePr w:wrap="auto" w:vAnchor="text" w:hAnchor="page" w:x="1460" w:y="42"/>
              <w:rPr>
                <w:noProof/>
                <w:lang w:val="fr-CA"/>
              </w:rPr>
            </w:pPr>
            <w:r>
              <w:rPr>
                <w:noProof/>
                <w:lang w:val="fr-CA"/>
              </w:rPr>
              <w:t>Applicant:</w:t>
            </w:r>
          </w:p>
        </w:tc>
        <w:tc>
          <w:tcPr>
            <w:tcW w:w="3523" w:type="dxa"/>
          </w:tcPr>
          <w:p w:rsidR="006C312E" w:rsidRDefault="002531CE">
            <w:pPr>
              <w:framePr w:wrap="auto" w:vAnchor="text" w:hAnchor="page" w:x="1460" w:y="42"/>
              <w:rPr>
                <w:noProof/>
                <w:lang w:val="fr-CA"/>
              </w:rPr>
            </w:pPr>
            <w:bookmarkStart w:id="8" w:name="ApplicantName"/>
            <w:bookmarkEnd w:id="8"/>
            <w:r>
              <w:rPr>
                <w:noProof/>
                <w:lang w:val="fr-CA"/>
              </w:rPr>
              <w:t>Tokai of Canada Ltd.</w:t>
            </w:r>
          </w:p>
        </w:tc>
      </w:tr>
      <w:tr w:rsidR="006C312E" w:rsidTr="00A12D00">
        <w:tc>
          <w:tcPr>
            <w:tcW w:w="959" w:type="dxa"/>
          </w:tcPr>
          <w:p w:rsidR="006C312E" w:rsidRDefault="006C312E">
            <w:pPr>
              <w:framePr w:hSpace="181" w:wrap="notBeside" w:vAnchor="text" w:hAnchor="page" w:x="1460" w:y="42"/>
              <w:rPr>
                <w:noProof/>
                <w:lang w:val="fr-CA"/>
              </w:rPr>
            </w:pPr>
          </w:p>
        </w:tc>
        <w:tc>
          <w:tcPr>
            <w:tcW w:w="2126" w:type="dxa"/>
          </w:tcPr>
          <w:p w:rsidR="006C312E" w:rsidRDefault="006C312E">
            <w:pPr>
              <w:framePr w:wrap="auto" w:vAnchor="text" w:hAnchor="page" w:x="1460" w:y="42"/>
              <w:rPr>
                <w:noProof/>
                <w:lang w:val="fr-CA"/>
              </w:rPr>
            </w:pPr>
            <w:r>
              <w:rPr>
                <w:noProof/>
                <w:lang w:val="fr-CA"/>
              </w:rPr>
              <w:t>Opponent:</w:t>
            </w:r>
          </w:p>
        </w:tc>
        <w:tc>
          <w:tcPr>
            <w:tcW w:w="3523" w:type="dxa"/>
          </w:tcPr>
          <w:p w:rsidR="006C312E" w:rsidRDefault="002531CE">
            <w:pPr>
              <w:framePr w:wrap="auto" w:vAnchor="text" w:hAnchor="page" w:x="1460" w:y="42"/>
              <w:rPr>
                <w:noProof/>
                <w:lang w:val="fr-CA"/>
              </w:rPr>
            </w:pPr>
            <w:bookmarkStart w:id="9" w:name="OpponentName"/>
            <w:bookmarkEnd w:id="9"/>
            <w:r>
              <w:rPr>
                <w:noProof/>
                <w:lang w:val="fr-CA"/>
              </w:rPr>
              <w:t>The Kingsford Product Company LLC</w:t>
            </w:r>
          </w:p>
        </w:tc>
      </w:tr>
    </w:tbl>
    <w:p w:rsidR="006C312E" w:rsidRDefault="006C312E">
      <w:pPr>
        <w:pStyle w:val="Header"/>
        <w:rPr>
          <w:spacing w:val="-2"/>
        </w:rPr>
      </w:pPr>
    </w:p>
    <w:p w:rsidR="007705B4" w:rsidRPr="007705B4" w:rsidRDefault="007705B4" w:rsidP="007705B4">
      <w:pPr>
        <w:jc w:val="both"/>
        <w:rPr>
          <w:sz w:val="22"/>
          <w:szCs w:val="22"/>
          <w:lang w:val="en-GB"/>
        </w:rPr>
      </w:pPr>
      <w:r w:rsidRPr="007705B4">
        <w:rPr>
          <w:sz w:val="22"/>
          <w:szCs w:val="22"/>
          <w:lang w:val="en-GB"/>
        </w:rPr>
        <w:t xml:space="preserve">Reference is made to the applicant’s letter dated June 19, 2015. </w:t>
      </w:r>
    </w:p>
    <w:p w:rsidR="007705B4" w:rsidRPr="007705B4" w:rsidRDefault="007705B4" w:rsidP="007705B4">
      <w:pPr>
        <w:jc w:val="both"/>
        <w:rPr>
          <w:sz w:val="22"/>
          <w:szCs w:val="22"/>
          <w:lang w:val="en-GB"/>
        </w:rPr>
      </w:pPr>
    </w:p>
    <w:p w:rsidR="007705B4" w:rsidRPr="007705B4" w:rsidRDefault="007705B4" w:rsidP="007705B4">
      <w:pPr>
        <w:jc w:val="both"/>
        <w:rPr>
          <w:b/>
          <w:sz w:val="22"/>
          <w:szCs w:val="22"/>
          <w:lang w:val="en-GB"/>
        </w:rPr>
      </w:pPr>
      <w:r w:rsidRPr="007705B4">
        <w:rPr>
          <w:b/>
          <w:sz w:val="22"/>
          <w:szCs w:val="22"/>
          <w:lang w:val="en-GB"/>
        </w:rPr>
        <w:t>Leave to File Affidavit of John Tucker</w:t>
      </w:r>
    </w:p>
    <w:p w:rsidR="007705B4" w:rsidRPr="007705B4" w:rsidRDefault="007705B4" w:rsidP="007705B4">
      <w:pPr>
        <w:jc w:val="both"/>
        <w:rPr>
          <w:sz w:val="22"/>
          <w:szCs w:val="22"/>
        </w:rPr>
      </w:pPr>
    </w:p>
    <w:p w:rsidR="007705B4" w:rsidRPr="007705B4" w:rsidRDefault="007705B4" w:rsidP="007705B4">
      <w:pPr>
        <w:rPr>
          <w:sz w:val="22"/>
          <w:szCs w:val="22"/>
        </w:rPr>
      </w:pPr>
      <w:r w:rsidRPr="007705B4">
        <w:rPr>
          <w:sz w:val="22"/>
          <w:szCs w:val="22"/>
        </w:rPr>
        <w:t>In deciding whether it is in the interests of justice to grant leave to the applicant to file additional evidence under section 44(1) of the Regulations, the Registrar has regard to all of the surrounding circumstances including: a) the stage the opposition proceeding has reached; b) why the evidence was not filed earlier; c) the importance of the evidence; and d) the prejudice which will be suffered by the other party.</w:t>
      </w:r>
    </w:p>
    <w:p w:rsidR="007705B4" w:rsidRPr="007705B4" w:rsidRDefault="007705B4" w:rsidP="007705B4">
      <w:pPr>
        <w:jc w:val="both"/>
        <w:rPr>
          <w:sz w:val="22"/>
          <w:szCs w:val="22"/>
        </w:rPr>
      </w:pPr>
    </w:p>
    <w:p w:rsidR="007705B4" w:rsidRPr="007705B4" w:rsidRDefault="007705B4" w:rsidP="007705B4">
      <w:pPr>
        <w:rPr>
          <w:sz w:val="22"/>
          <w:szCs w:val="22"/>
        </w:rPr>
      </w:pPr>
      <w:r w:rsidRPr="007705B4">
        <w:rPr>
          <w:sz w:val="22"/>
          <w:szCs w:val="22"/>
        </w:rPr>
        <w:t xml:space="preserve">Based on the representations of the applicant, I am satisfied that it is in the interests of justice to grant leave pursuant to section 44(1) to file Mr. Tucker’s affidavit sworn June 11, 2015.  </w:t>
      </w:r>
      <w:r w:rsidRPr="007705B4">
        <w:rPr>
          <w:sz w:val="22"/>
          <w:szCs w:val="22"/>
          <w:lang w:val="en-GB"/>
        </w:rPr>
        <w:t xml:space="preserve">Since a copy of the evidence has already been forwarded to the other party, no further action is required. </w:t>
      </w:r>
    </w:p>
    <w:p w:rsidR="007705B4" w:rsidRPr="007705B4" w:rsidRDefault="007705B4" w:rsidP="007705B4">
      <w:pPr>
        <w:jc w:val="both"/>
        <w:rPr>
          <w:sz w:val="22"/>
          <w:szCs w:val="22"/>
        </w:rPr>
      </w:pPr>
    </w:p>
    <w:p w:rsidR="007705B4" w:rsidRPr="007705B4" w:rsidRDefault="007705B4" w:rsidP="007705B4">
      <w:pPr>
        <w:rPr>
          <w:sz w:val="22"/>
          <w:szCs w:val="22"/>
          <w:lang w:val="en-GB"/>
        </w:rPr>
      </w:pPr>
      <w:r w:rsidRPr="007705B4">
        <w:rPr>
          <w:b/>
          <w:sz w:val="22"/>
          <w:szCs w:val="22"/>
          <w:lang w:val="en-GB"/>
        </w:rPr>
        <w:t>Deadline to Complete Cross-Examination of John Tucker</w:t>
      </w:r>
    </w:p>
    <w:p w:rsidR="007705B4" w:rsidRPr="007705B4" w:rsidRDefault="007705B4" w:rsidP="007705B4">
      <w:pPr>
        <w:rPr>
          <w:sz w:val="22"/>
          <w:szCs w:val="22"/>
          <w:lang w:val="en-GB"/>
        </w:rPr>
      </w:pPr>
    </w:p>
    <w:p w:rsidR="007705B4" w:rsidRPr="007705B4" w:rsidRDefault="007705B4" w:rsidP="007705B4">
      <w:pPr>
        <w:rPr>
          <w:sz w:val="22"/>
          <w:szCs w:val="22"/>
          <w:lang w:val="en-GB"/>
        </w:rPr>
      </w:pPr>
      <w:r w:rsidRPr="007705B4">
        <w:rPr>
          <w:sz w:val="22"/>
          <w:szCs w:val="22"/>
          <w:lang w:val="en-GB"/>
        </w:rPr>
        <w:t xml:space="preserve">An extension of time to complete cross-examination is granted until </w:t>
      </w:r>
      <w:r w:rsidRPr="007705B4">
        <w:rPr>
          <w:b/>
          <w:sz w:val="22"/>
          <w:szCs w:val="22"/>
          <w:lang w:val="en-GB"/>
        </w:rPr>
        <w:t>October 19, 2015</w:t>
      </w:r>
      <w:r w:rsidRPr="007705B4">
        <w:rPr>
          <w:sz w:val="22"/>
          <w:szCs w:val="22"/>
          <w:lang w:val="en-GB"/>
        </w:rPr>
        <w:t>.</w:t>
      </w:r>
    </w:p>
    <w:p w:rsidR="007705B4" w:rsidRPr="007705B4" w:rsidRDefault="007705B4" w:rsidP="007705B4">
      <w:pPr>
        <w:rPr>
          <w:sz w:val="22"/>
          <w:szCs w:val="22"/>
          <w:lang w:val="en-GB"/>
        </w:rPr>
      </w:pPr>
    </w:p>
    <w:p w:rsidR="007705B4" w:rsidRPr="007705B4" w:rsidRDefault="007705B4" w:rsidP="007705B4">
      <w:pPr>
        <w:rPr>
          <w:b/>
          <w:sz w:val="22"/>
          <w:szCs w:val="22"/>
          <w:lang w:val="en-GB"/>
        </w:rPr>
      </w:pPr>
      <w:r w:rsidRPr="007705B4">
        <w:rPr>
          <w:b/>
          <w:sz w:val="22"/>
          <w:szCs w:val="22"/>
          <w:lang w:val="en-GB"/>
        </w:rPr>
        <w:t>Cross-Examination by Video Conference</w:t>
      </w:r>
    </w:p>
    <w:p w:rsidR="007705B4" w:rsidRPr="007705B4" w:rsidRDefault="007705B4" w:rsidP="007705B4">
      <w:pPr>
        <w:rPr>
          <w:b/>
          <w:sz w:val="22"/>
          <w:szCs w:val="22"/>
          <w:lang w:val="en-GB"/>
        </w:rPr>
      </w:pPr>
    </w:p>
    <w:p w:rsidR="007705B4" w:rsidRPr="007705B4" w:rsidRDefault="007705B4" w:rsidP="007705B4">
      <w:pPr>
        <w:rPr>
          <w:sz w:val="22"/>
          <w:szCs w:val="22"/>
        </w:rPr>
      </w:pPr>
      <w:r w:rsidRPr="007705B4">
        <w:rPr>
          <w:sz w:val="22"/>
          <w:szCs w:val="22"/>
          <w:lang w:val="en-GB"/>
        </w:rPr>
        <w:t xml:space="preserve">If the parties are unable to agree to the date and time or place or manner of cross-examination, the Registrar will set the date, time, place and manner of cross-examination.  I note that if the parties agree to conduct the examination by video conference there is no need to vary the order.  If such an agreement is unlikely to be forthcoming the parties should advise the Registrar well in advance of </w:t>
      </w:r>
      <w:r w:rsidRPr="007705B4">
        <w:rPr>
          <w:b/>
          <w:sz w:val="22"/>
          <w:szCs w:val="22"/>
          <w:lang w:val="en-GB"/>
        </w:rPr>
        <w:t>October 19, 2015</w:t>
      </w:r>
      <w:r w:rsidRPr="007705B4">
        <w:rPr>
          <w:sz w:val="22"/>
          <w:szCs w:val="22"/>
          <w:lang w:val="en-GB"/>
        </w:rPr>
        <w:t xml:space="preserve"> so the Registrar can set the date, time, place and manner.</w:t>
      </w:r>
    </w:p>
    <w:p w:rsidR="006C312E" w:rsidRDefault="007705B4">
      <w:pPr>
        <w:tabs>
          <w:tab w:val="left" w:pos="-720"/>
        </w:tabs>
        <w:suppressAutoHyphens/>
        <w:spacing w:before="120"/>
        <w:rPr>
          <w:color w:val="000000"/>
          <w:spacing w:val="-3"/>
          <w:sz w:val="22"/>
        </w:rPr>
      </w:pPr>
      <w:r>
        <w:rPr>
          <w:color w:val="000000"/>
          <w:spacing w:val="-3"/>
          <w:sz w:val="22"/>
        </w:rPr>
        <w:t>Y</w:t>
      </w:r>
      <w:r w:rsidR="006C312E">
        <w:rPr>
          <w:color w:val="000000"/>
          <w:spacing w:val="-3"/>
          <w:sz w:val="22"/>
        </w:rPr>
        <w:t>ours truly,</w:t>
      </w:r>
    </w:p>
    <w:p w:rsidR="007705B4" w:rsidRDefault="007705B4">
      <w:pPr>
        <w:tabs>
          <w:tab w:val="left" w:pos="-720"/>
        </w:tabs>
        <w:suppressAutoHyphens/>
        <w:spacing w:before="120"/>
        <w:rPr>
          <w:color w:val="000000"/>
          <w:spacing w:val="-3"/>
          <w:sz w:val="22"/>
        </w:rPr>
      </w:pPr>
      <w:r>
        <w:rPr>
          <w:color w:val="000000"/>
          <w:spacing w:val="-3"/>
          <w:sz w:val="22"/>
        </w:rPr>
        <w:t xml:space="preserve">Original signed by </w:t>
      </w:r>
      <w:bookmarkStart w:id="10" w:name="_GoBack"/>
      <w:bookmarkEnd w:id="10"/>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Sig "Enter the officer's name (Signature)." </w:instrText>
      </w:r>
      <w:r w:rsidR="002531CE">
        <w:rPr>
          <w:color w:val="000000"/>
          <w:spacing w:val="-3"/>
          <w:sz w:val="22"/>
        </w:rPr>
        <w:fldChar w:fldCharType="separate"/>
      </w:r>
      <w:bookmarkStart w:id="11" w:name="Sig"/>
      <w:r w:rsidR="002531CE">
        <w:rPr>
          <w:color w:val="000000"/>
          <w:spacing w:val="-3"/>
          <w:sz w:val="22"/>
        </w:rPr>
        <w:t>Natalie de Paulsen</w:t>
      </w:r>
      <w:bookmarkEnd w:id="11"/>
      <w:r>
        <w:rPr>
          <w:color w:val="000000"/>
          <w:spacing w:val="-3"/>
          <w:sz w:val="22"/>
        </w:rPr>
        <w:fldChar w:fldCharType="end"/>
      </w:r>
      <w:r>
        <w:rPr>
          <w:color w:val="000000"/>
          <w:spacing w:val="-3"/>
          <w:sz w:val="22"/>
        </w:rPr>
        <w:fldChar w:fldCharType="begin"/>
      </w:r>
      <w:r>
        <w:rPr>
          <w:color w:val="000000"/>
          <w:spacing w:val="-3"/>
          <w:sz w:val="22"/>
        </w:rPr>
        <w:instrText xml:space="preserve"> REF Sig \* MERGEFORMAT </w:instrText>
      </w:r>
      <w:r w:rsidR="002531CE">
        <w:rPr>
          <w:color w:val="000000"/>
          <w:spacing w:val="-3"/>
          <w:sz w:val="22"/>
        </w:rPr>
        <w:fldChar w:fldCharType="separate"/>
      </w:r>
      <w:r w:rsidR="007705B4">
        <w:rPr>
          <w:color w:val="000000"/>
          <w:spacing w:val="-3"/>
          <w:sz w:val="22"/>
        </w:rPr>
        <w:t>Natalie de Paulsen</w:t>
      </w:r>
      <w:r>
        <w:rPr>
          <w:color w:val="000000"/>
          <w:spacing w:val="-3"/>
          <w:sz w:val="22"/>
        </w:rPr>
        <w:fldChar w:fldCharType="end"/>
      </w:r>
      <w:r>
        <w:rPr>
          <w:color w:val="000000"/>
          <w:spacing w:val="-3"/>
          <w:sz w:val="22"/>
        </w:rPr>
        <w:t>,</w:t>
      </w:r>
    </w:p>
    <w:p w:rsidR="006C312E" w:rsidRDefault="006C312E">
      <w:pPr>
        <w:tabs>
          <w:tab w:val="left" w:pos="-720"/>
        </w:tabs>
        <w:suppressAutoHyphens/>
        <w:jc w:val="both"/>
        <w:rPr>
          <w:color w:val="000000"/>
          <w:spacing w:val="-3"/>
          <w:sz w:val="22"/>
        </w:rPr>
      </w:pPr>
      <w:r>
        <w:rPr>
          <w:color w:val="000000"/>
          <w:spacing w:val="-3"/>
          <w:sz w:val="22"/>
        </w:rPr>
        <w:fldChar w:fldCharType="begin"/>
      </w:r>
      <w:r>
        <w:rPr>
          <w:color w:val="000000"/>
          <w:spacing w:val="-3"/>
          <w:sz w:val="22"/>
        </w:rPr>
        <w:instrText xml:space="preserve"> ASK q13 "Insert Member OR Chairman" </w:instrText>
      </w:r>
      <w:r w:rsidR="002531CE">
        <w:rPr>
          <w:color w:val="000000"/>
          <w:spacing w:val="-3"/>
          <w:sz w:val="22"/>
        </w:rPr>
        <w:fldChar w:fldCharType="separate"/>
      </w:r>
      <w:bookmarkStart w:id="12" w:name="q13"/>
      <w:r w:rsidR="002531CE">
        <w:rPr>
          <w:color w:val="000000"/>
          <w:spacing w:val="-3"/>
          <w:sz w:val="22"/>
        </w:rPr>
        <w:t>Member</w:t>
      </w:r>
      <w:bookmarkEnd w:id="12"/>
      <w:r>
        <w:rPr>
          <w:color w:val="000000"/>
          <w:spacing w:val="-3"/>
          <w:sz w:val="22"/>
        </w:rPr>
        <w:fldChar w:fldCharType="end"/>
      </w:r>
      <w:r>
        <w:rPr>
          <w:sz w:val="22"/>
        </w:rPr>
        <w:fldChar w:fldCharType="begin"/>
      </w:r>
      <w:r>
        <w:rPr>
          <w:sz w:val="22"/>
        </w:rPr>
        <w:instrText xml:space="preserve"> REF q13 \* MERGEFORMAT </w:instrText>
      </w:r>
      <w:r w:rsidR="002531CE">
        <w:rPr>
          <w:sz w:val="22"/>
        </w:rPr>
        <w:fldChar w:fldCharType="separate"/>
      </w:r>
      <w:r w:rsidR="007705B4">
        <w:rPr>
          <w:color w:val="000000"/>
          <w:spacing w:val="-3"/>
          <w:sz w:val="22"/>
        </w:rPr>
        <w:t>Member</w:t>
      </w:r>
      <w:r>
        <w:rPr>
          <w:sz w:val="22"/>
        </w:rPr>
        <w:fldChar w:fldCharType="end"/>
      </w:r>
      <w:r>
        <w:rPr>
          <w:color w:val="000000"/>
          <w:spacing w:val="-3"/>
          <w:sz w:val="22"/>
        </w:rPr>
        <w:t>,</w:t>
      </w:r>
    </w:p>
    <w:p w:rsidR="006C312E" w:rsidRDefault="006C312E">
      <w:pPr>
        <w:tabs>
          <w:tab w:val="left" w:pos="-720"/>
        </w:tabs>
        <w:suppressAutoHyphens/>
        <w:jc w:val="both"/>
        <w:rPr>
          <w:color w:val="000000"/>
          <w:spacing w:val="-3"/>
          <w:sz w:val="22"/>
        </w:rPr>
      </w:pPr>
      <w:r>
        <w:rPr>
          <w:color w:val="000000"/>
          <w:spacing w:val="-3"/>
          <w:sz w:val="22"/>
        </w:rPr>
        <w:t>Trade-marks Opposition Board.</w:t>
      </w:r>
      <w:bookmarkStart w:id="13" w:name="SignatureInitials"/>
      <w:bookmarkStart w:id="14" w:name="CC1"/>
      <w:bookmarkEnd w:id="13"/>
      <w:bookmarkEnd w:id="14"/>
    </w:p>
    <w:p w:rsidR="002531CE" w:rsidRDefault="002531CE">
      <w:pPr>
        <w:tabs>
          <w:tab w:val="left" w:pos="-720"/>
        </w:tabs>
        <w:suppressAutoHyphens/>
        <w:jc w:val="both"/>
        <w:rPr>
          <w:color w:val="000000"/>
          <w:spacing w:val="-3"/>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
        <w:gridCol w:w="4200"/>
        <w:gridCol w:w="500"/>
        <w:gridCol w:w="4200"/>
      </w:tblGrid>
      <w:tr w:rsidR="002531CE" w:rsidRPr="002531CE" w:rsidTr="002531CE">
        <w:tc>
          <w:tcPr>
            <w:tcW w:w="507" w:type="dxa"/>
            <w:shd w:val="clear" w:color="auto" w:fill="auto"/>
          </w:tcPr>
          <w:p w:rsidR="002531CE" w:rsidRPr="002531CE" w:rsidRDefault="002531CE">
            <w:pPr>
              <w:tabs>
                <w:tab w:val="left" w:pos="-720"/>
              </w:tabs>
              <w:suppressAutoHyphens/>
              <w:jc w:val="both"/>
              <w:rPr>
                <w:sz w:val="18"/>
              </w:rPr>
            </w:pPr>
            <w:r>
              <w:rPr>
                <w:sz w:val="18"/>
              </w:rPr>
              <w:t>CC:</w:t>
            </w:r>
          </w:p>
        </w:tc>
        <w:tc>
          <w:tcPr>
            <w:tcW w:w="4200" w:type="dxa"/>
            <w:shd w:val="clear" w:color="auto" w:fill="auto"/>
          </w:tcPr>
          <w:p w:rsidR="002531CE" w:rsidRDefault="002531CE">
            <w:pPr>
              <w:tabs>
                <w:tab w:val="left" w:pos="-720"/>
              </w:tabs>
              <w:suppressAutoHyphens/>
              <w:jc w:val="both"/>
              <w:rPr>
                <w:sz w:val="18"/>
              </w:rPr>
            </w:pPr>
            <w:r>
              <w:rPr>
                <w:sz w:val="18"/>
              </w:rPr>
              <w:t>SIM &amp; MCBURNEY</w:t>
            </w:r>
          </w:p>
          <w:p w:rsidR="002531CE" w:rsidRDefault="002531CE">
            <w:pPr>
              <w:tabs>
                <w:tab w:val="left" w:pos="-720"/>
              </w:tabs>
              <w:suppressAutoHyphens/>
              <w:jc w:val="both"/>
              <w:rPr>
                <w:sz w:val="18"/>
              </w:rPr>
            </w:pPr>
            <w:r>
              <w:rPr>
                <w:sz w:val="18"/>
              </w:rPr>
              <w:t>330 UNIVERSITY AVENUE</w:t>
            </w:r>
          </w:p>
          <w:p w:rsidR="002531CE" w:rsidRDefault="002531CE">
            <w:pPr>
              <w:tabs>
                <w:tab w:val="left" w:pos="-720"/>
              </w:tabs>
              <w:suppressAutoHyphens/>
              <w:jc w:val="both"/>
              <w:rPr>
                <w:sz w:val="18"/>
              </w:rPr>
            </w:pPr>
            <w:r>
              <w:rPr>
                <w:sz w:val="18"/>
              </w:rPr>
              <w:t>6TH FLOOR</w:t>
            </w:r>
          </w:p>
          <w:p w:rsidR="002531CE" w:rsidRDefault="002531CE">
            <w:pPr>
              <w:tabs>
                <w:tab w:val="left" w:pos="-720"/>
              </w:tabs>
              <w:suppressAutoHyphens/>
              <w:jc w:val="both"/>
              <w:rPr>
                <w:sz w:val="18"/>
              </w:rPr>
            </w:pPr>
            <w:r>
              <w:rPr>
                <w:sz w:val="18"/>
              </w:rPr>
              <w:t>TORONTO</w:t>
            </w:r>
          </w:p>
          <w:p w:rsidR="002531CE" w:rsidRPr="002531CE" w:rsidRDefault="002531CE">
            <w:pPr>
              <w:tabs>
                <w:tab w:val="left" w:pos="-720"/>
              </w:tabs>
              <w:suppressAutoHyphens/>
              <w:jc w:val="both"/>
              <w:rPr>
                <w:sz w:val="18"/>
              </w:rPr>
            </w:pPr>
            <w:r>
              <w:rPr>
                <w:sz w:val="18"/>
              </w:rPr>
              <w:t>ONTARIO M5G 1R7</w:t>
            </w:r>
          </w:p>
        </w:tc>
        <w:tc>
          <w:tcPr>
            <w:tcW w:w="500" w:type="dxa"/>
            <w:shd w:val="clear" w:color="auto" w:fill="auto"/>
          </w:tcPr>
          <w:p w:rsidR="002531CE" w:rsidRPr="002531CE" w:rsidRDefault="002531CE">
            <w:pPr>
              <w:tabs>
                <w:tab w:val="left" w:pos="-720"/>
              </w:tabs>
              <w:suppressAutoHyphens/>
              <w:jc w:val="both"/>
              <w:rPr>
                <w:sz w:val="18"/>
              </w:rPr>
            </w:pPr>
            <w:r>
              <w:rPr>
                <w:sz w:val="18"/>
              </w:rPr>
              <w:t>RE:</w:t>
            </w:r>
          </w:p>
        </w:tc>
        <w:tc>
          <w:tcPr>
            <w:tcW w:w="4200" w:type="dxa"/>
            <w:shd w:val="clear" w:color="auto" w:fill="auto"/>
          </w:tcPr>
          <w:p w:rsidR="002531CE" w:rsidRPr="002531CE" w:rsidRDefault="002531CE">
            <w:pPr>
              <w:tabs>
                <w:tab w:val="left" w:pos="-720"/>
              </w:tabs>
              <w:suppressAutoHyphens/>
              <w:jc w:val="both"/>
              <w:rPr>
                <w:sz w:val="18"/>
              </w:rPr>
            </w:pPr>
            <w:r>
              <w:rPr>
                <w:sz w:val="18"/>
              </w:rPr>
              <w:t>10758-15 KDM, (The Kingsford Product Company LLC)</w:t>
            </w:r>
          </w:p>
        </w:tc>
      </w:tr>
    </w:tbl>
    <w:p w:rsidR="002531CE" w:rsidRDefault="002531CE">
      <w:pPr>
        <w:tabs>
          <w:tab w:val="left" w:pos="-720"/>
        </w:tabs>
        <w:suppressAutoHyphens/>
        <w:jc w:val="both"/>
        <w:rPr>
          <w:sz w:val="22"/>
        </w:rPr>
      </w:pPr>
    </w:p>
    <w:sectPr w:rsidR="002531CE">
      <w:headerReference w:type="default" r:id="rId9"/>
      <w:type w:val="continuous"/>
      <w:pgSz w:w="12240" w:h="15840" w:code="1"/>
      <w:pgMar w:top="2160" w:right="1440" w:bottom="720" w:left="1440" w:header="432"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83" w:rsidRDefault="00362383">
      <w:r>
        <w:separator/>
      </w:r>
    </w:p>
  </w:endnote>
  <w:endnote w:type="continuationSeparator" w:id="0">
    <w:p w:rsidR="00362383" w:rsidRDefault="0036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31" w:type="dxa"/>
      <w:tblInd w:w="-432" w:type="dxa"/>
      <w:tblLook w:val="0000" w:firstRow="0" w:lastRow="0" w:firstColumn="0" w:lastColumn="0" w:noHBand="0" w:noVBand="0"/>
    </w:tblPr>
    <w:tblGrid>
      <w:gridCol w:w="2166"/>
      <w:gridCol w:w="5081"/>
      <w:gridCol w:w="1035"/>
      <w:gridCol w:w="1614"/>
      <w:gridCol w:w="1035"/>
    </w:tblGrid>
    <w:tr w:rsidR="006C312E">
      <w:trPr>
        <w:trHeight w:val="1125"/>
      </w:trPr>
      <w:tc>
        <w:tcPr>
          <w:tcW w:w="1985" w:type="dxa"/>
          <w:vAlign w:val="center"/>
        </w:tcPr>
        <w:p w:rsidR="006C312E" w:rsidRDefault="00D8719F">
          <w:pPr>
            <w:tabs>
              <w:tab w:val="center" w:pos="4860"/>
              <w:tab w:val="right" w:pos="8100"/>
              <w:tab w:val="left" w:pos="9720"/>
            </w:tabs>
          </w:pPr>
          <w:r>
            <w:rPr>
              <w:noProof/>
              <w:lang w:val="en-CA" w:eastAsia="en-CA"/>
            </w:rPr>
            <w:drawing>
              <wp:inline distT="0" distB="0" distL="0" distR="0">
                <wp:extent cx="1238250" cy="314325"/>
                <wp:effectExtent l="0" t="0" r="0" b="9525"/>
                <wp:docPr id="1" name="Picture 1"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p>
      </w:tc>
      <w:tc>
        <w:tcPr>
          <w:tcW w:w="5213" w:type="dxa"/>
          <w:vAlign w:val="center"/>
        </w:tcPr>
        <w:p w:rsidR="006C312E" w:rsidRDefault="006C312E">
          <w:pPr>
            <w:tabs>
              <w:tab w:val="center" w:pos="4860"/>
              <w:tab w:val="right" w:pos="8100"/>
              <w:tab w:val="left" w:pos="9720"/>
            </w:tabs>
            <w:jc w:val="center"/>
            <w:textAlignment w:val="auto"/>
            <w:rPr>
              <w:rFonts w:ascii="CG Times (W1)" w:hAnsi="CG Times (W1)"/>
              <w:i/>
              <w:iCs/>
              <w:sz w:val="15"/>
            </w:rPr>
          </w:pPr>
          <w:r>
            <w:rPr>
              <w:rFonts w:ascii="CG Times (W1)" w:hAnsi="CG Times (W1)"/>
              <w:i/>
              <w:iCs/>
              <w:sz w:val="15"/>
            </w:rPr>
            <w:t xml:space="preserve">                      www.opic.ic.gc.ca</w:t>
          </w:r>
        </w:p>
        <w:p w:rsidR="006C312E" w:rsidRDefault="006C312E">
          <w:pPr>
            <w:tabs>
              <w:tab w:val="center" w:pos="4860"/>
              <w:tab w:val="right" w:pos="8100"/>
              <w:tab w:val="left" w:pos="9720"/>
            </w:tabs>
            <w:jc w:val="center"/>
          </w:pPr>
          <w:r>
            <w:rPr>
              <w:rFonts w:ascii="CG Times (W1)" w:hAnsi="CG Times (W1)"/>
              <w:i/>
              <w:iCs/>
              <w:sz w:val="15"/>
            </w:rPr>
            <w:t xml:space="preserve">                      www.cipo.ic.gc.ca</w:t>
          </w:r>
        </w:p>
      </w:tc>
      <w:tc>
        <w:tcPr>
          <w:tcW w:w="1058" w:type="dxa"/>
          <w:vAlign w:val="center"/>
        </w:tcPr>
        <w:p w:rsidR="006C312E" w:rsidRDefault="006C312E">
          <w:pPr>
            <w:tabs>
              <w:tab w:val="center" w:pos="4860"/>
              <w:tab w:val="right" w:pos="8100"/>
              <w:tab w:val="left" w:pos="9720"/>
            </w:tabs>
            <w:jc w:val="right"/>
          </w:pPr>
          <w:r>
            <w:rPr>
              <w:rFonts w:ascii="CG Times (W1)" w:hAnsi="CG Times (W1)"/>
            </w:rPr>
            <w:t>O P I C</w:t>
          </w:r>
        </w:p>
      </w:tc>
      <w:tc>
        <w:tcPr>
          <w:tcW w:w="1617" w:type="dxa"/>
          <w:vAlign w:val="center"/>
        </w:tcPr>
        <w:p w:rsidR="006C312E" w:rsidRDefault="00D8719F">
          <w:pPr>
            <w:tabs>
              <w:tab w:val="center" w:pos="4860"/>
              <w:tab w:val="right" w:pos="8100"/>
              <w:tab w:val="left" w:pos="9720"/>
            </w:tabs>
            <w:jc w:val="center"/>
          </w:pPr>
          <w:r>
            <w:rPr>
              <w:noProof/>
              <w:lang w:val="en-CA" w:eastAsia="en-CA"/>
            </w:rPr>
            <w:drawing>
              <wp:inline distT="0" distB="0" distL="0" distR="0">
                <wp:extent cx="838200" cy="590550"/>
                <wp:effectExtent l="0" t="0" r="0" b="0"/>
                <wp:docPr id="2" name="Picture 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p>
      </w:tc>
      <w:tc>
        <w:tcPr>
          <w:tcW w:w="1058" w:type="dxa"/>
          <w:vAlign w:val="center"/>
        </w:tcPr>
        <w:p w:rsidR="006C312E" w:rsidRDefault="006C312E">
          <w:pPr>
            <w:tabs>
              <w:tab w:val="center" w:pos="4860"/>
              <w:tab w:val="right" w:pos="8100"/>
              <w:tab w:val="left" w:pos="9720"/>
            </w:tabs>
          </w:pPr>
          <w:r>
            <w:rPr>
              <w:rFonts w:ascii="CG Times (W1)" w:hAnsi="CG Times (W1)"/>
            </w:rPr>
            <w:t>C I P O</w:t>
          </w:r>
        </w:p>
      </w:tc>
    </w:tr>
  </w:tbl>
  <w:p w:rsidR="006C312E" w:rsidRDefault="006C3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83" w:rsidRDefault="00362383">
      <w:r>
        <w:separator/>
      </w:r>
    </w:p>
  </w:footnote>
  <w:footnote w:type="continuationSeparator" w:id="0">
    <w:p w:rsidR="00362383" w:rsidRDefault="00362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510"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1160"/>
    </w:tblGrid>
    <w:tr w:rsidR="006C312E">
      <w:tc>
        <w:tcPr>
          <w:tcW w:w="11160" w:type="dxa"/>
          <w:tcBorders>
            <w:top w:val="nil"/>
            <w:left w:val="nil"/>
            <w:bottom w:val="nil"/>
            <w:right w:val="nil"/>
          </w:tcBorders>
        </w:tcPr>
        <w:p w:rsidR="006C312E" w:rsidRDefault="00D8719F">
          <w:pPr>
            <w:pStyle w:val="Header"/>
            <w:tabs>
              <w:tab w:val="clear" w:pos="4320"/>
              <w:tab w:val="clear" w:pos="8640"/>
              <w:tab w:val="left" w:pos="1080"/>
              <w:tab w:val="left" w:pos="3420"/>
            </w:tabs>
            <w:ind w:firstLine="1080"/>
            <w:rPr>
              <w:rFonts w:ascii="Arial" w:hAnsi="Arial" w:cs="Arial"/>
              <w:b/>
              <w:bCs/>
              <w:sz w:val="20"/>
              <w:lang w:val="fr-CA"/>
            </w:rPr>
          </w:pPr>
          <w:r>
            <w:rPr>
              <w:sz w:val="20"/>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466725" cy="247650"/>
                <wp:effectExtent l="0" t="0" r="9525" b="0"/>
                <wp:wrapNone/>
                <wp:docPr id="3"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12E">
            <w:rPr>
              <w:rFonts w:ascii="Arial" w:hAnsi="Arial" w:cs="Arial"/>
              <w:b/>
              <w:bCs/>
              <w:sz w:val="20"/>
              <w:lang w:val="fr-CA"/>
            </w:rPr>
            <w:t>Office de la propriété</w:t>
          </w:r>
          <w:r w:rsidR="006C312E">
            <w:rPr>
              <w:rFonts w:ascii="Arial" w:hAnsi="Arial" w:cs="Arial"/>
              <w:b/>
              <w:bCs/>
              <w:sz w:val="20"/>
              <w:lang w:val="fr-CA"/>
            </w:rPr>
            <w:tab/>
            <w:t>Canadian</w:t>
          </w:r>
        </w:p>
        <w:p w:rsidR="006C312E" w:rsidRDefault="006C312E">
          <w:pPr>
            <w:pStyle w:val="Header"/>
            <w:tabs>
              <w:tab w:val="clear" w:pos="4320"/>
              <w:tab w:val="clear" w:pos="8640"/>
              <w:tab w:val="left" w:pos="1080"/>
              <w:tab w:val="left" w:pos="3420"/>
            </w:tabs>
            <w:ind w:firstLine="1080"/>
            <w:rPr>
              <w:rFonts w:ascii="Arial" w:hAnsi="Arial" w:cs="Arial"/>
              <w:b/>
              <w:bCs/>
              <w:sz w:val="20"/>
              <w:lang w:val="fr-CA"/>
            </w:rPr>
          </w:pPr>
          <w:r>
            <w:rPr>
              <w:rFonts w:ascii="Arial" w:hAnsi="Arial" w:cs="Arial"/>
              <w:b/>
              <w:bCs/>
              <w:sz w:val="20"/>
              <w:lang w:val="fr-CA"/>
            </w:rPr>
            <w:t>intellectuelle</w:t>
          </w:r>
          <w:r>
            <w:rPr>
              <w:rFonts w:ascii="Arial" w:hAnsi="Arial" w:cs="Arial"/>
              <w:b/>
              <w:bCs/>
              <w:sz w:val="20"/>
              <w:lang w:val="fr-CA"/>
            </w:rPr>
            <w:tab/>
            <w:t>Intellectual Property</w:t>
          </w:r>
        </w:p>
        <w:p w:rsidR="006C312E" w:rsidRDefault="006C312E">
          <w:pPr>
            <w:pStyle w:val="Header"/>
            <w:tabs>
              <w:tab w:val="clear" w:pos="4320"/>
              <w:tab w:val="clear" w:pos="8640"/>
              <w:tab w:val="left" w:pos="1080"/>
              <w:tab w:val="left" w:pos="3420"/>
            </w:tabs>
            <w:ind w:firstLine="1080"/>
            <w:rPr>
              <w:rFonts w:ascii="Arial" w:hAnsi="Arial" w:cs="Arial"/>
              <w:sz w:val="16"/>
              <w:lang w:val="fr-CA"/>
            </w:rPr>
          </w:pPr>
          <w:r>
            <w:rPr>
              <w:rFonts w:ascii="Arial" w:hAnsi="Arial" w:cs="Arial"/>
              <w:b/>
              <w:bCs/>
              <w:sz w:val="20"/>
              <w:lang w:val="fr-CA"/>
            </w:rPr>
            <w:t>du Canada</w:t>
          </w:r>
          <w:r>
            <w:rPr>
              <w:rFonts w:ascii="Arial" w:hAnsi="Arial" w:cs="Arial"/>
              <w:b/>
              <w:bCs/>
              <w:sz w:val="20"/>
              <w:lang w:val="fr-CA"/>
            </w:rPr>
            <w:tab/>
            <w:t>Office</w:t>
          </w:r>
        </w:p>
        <w:p w:rsidR="006C312E" w:rsidRDefault="006C312E">
          <w:pPr>
            <w:pStyle w:val="Header"/>
            <w:tabs>
              <w:tab w:val="clear" w:pos="4320"/>
              <w:tab w:val="clear" w:pos="8640"/>
              <w:tab w:val="left" w:pos="1080"/>
              <w:tab w:val="left" w:pos="3420"/>
            </w:tabs>
            <w:spacing w:line="120" w:lineRule="exact"/>
            <w:ind w:firstLine="1080"/>
            <w:rPr>
              <w:rFonts w:ascii="Arial" w:hAnsi="Arial" w:cs="Arial"/>
              <w:sz w:val="16"/>
              <w:lang w:val="fr-CA"/>
            </w:rPr>
          </w:pP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Un organisme</w:t>
          </w:r>
          <w:r>
            <w:rPr>
              <w:rFonts w:ascii="Arial" w:hAnsi="Arial" w:cs="Arial"/>
              <w:sz w:val="15"/>
              <w:lang w:val="fr-CA"/>
            </w:rPr>
            <w:tab/>
            <w:t>An Agency of</w:t>
          </w: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d'Industrie Canada</w:t>
          </w:r>
          <w:r>
            <w:rPr>
              <w:rFonts w:ascii="Arial" w:hAnsi="Arial" w:cs="Arial"/>
              <w:sz w:val="15"/>
              <w:lang w:val="fr-CA"/>
            </w:rPr>
            <w:tab/>
            <w:t>Industry Canada</w:t>
          </w:r>
        </w:p>
        <w:p w:rsidR="006C312E" w:rsidRDefault="006C312E">
          <w:pPr>
            <w:pStyle w:val="Header"/>
            <w:tabs>
              <w:tab w:val="clear" w:pos="4320"/>
              <w:tab w:val="clear" w:pos="8640"/>
              <w:tab w:val="left" w:pos="1080"/>
              <w:tab w:val="left" w:pos="3420"/>
            </w:tabs>
            <w:spacing w:line="120" w:lineRule="exact"/>
            <w:ind w:firstLine="1080"/>
            <w:rPr>
              <w:rFonts w:ascii="Arial" w:hAnsi="Arial" w:cs="Arial"/>
              <w:sz w:val="15"/>
              <w:lang w:val="fr-CA"/>
            </w:rPr>
          </w:pP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50, rue Victoria, bureau C-114</w:t>
          </w:r>
          <w:r>
            <w:rPr>
              <w:rFonts w:ascii="Arial" w:hAnsi="Arial" w:cs="Arial"/>
              <w:sz w:val="15"/>
              <w:lang w:val="fr-CA"/>
            </w:rPr>
            <w:tab/>
            <w:t>50 Victoria Street, Room C-114</w:t>
          </w:r>
        </w:p>
        <w:p w:rsidR="006C312E" w:rsidRDefault="006C312E">
          <w:pPr>
            <w:pStyle w:val="Header"/>
            <w:tabs>
              <w:tab w:val="clear" w:pos="4320"/>
              <w:tab w:val="clear" w:pos="8640"/>
              <w:tab w:val="left" w:pos="1080"/>
              <w:tab w:val="left" w:pos="3420"/>
            </w:tabs>
            <w:spacing w:line="160" w:lineRule="exact"/>
            <w:ind w:firstLine="1080"/>
            <w:rPr>
              <w:rFonts w:ascii="Arial" w:hAnsi="Arial" w:cs="Arial"/>
              <w:sz w:val="15"/>
              <w:lang w:val="fr-CA"/>
            </w:rPr>
          </w:pPr>
          <w:r>
            <w:rPr>
              <w:rFonts w:ascii="Arial" w:hAnsi="Arial" w:cs="Arial"/>
              <w:sz w:val="15"/>
              <w:lang w:val="fr-CA"/>
            </w:rPr>
            <w:t>Place du Portage I</w:t>
          </w:r>
          <w:r>
            <w:rPr>
              <w:rFonts w:ascii="Arial" w:hAnsi="Arial" w:cs="Arial"/>
              <w:sz w:val="15"/>
              <w:lang w:val="fr-CA"/>
            </w:rPr>
            <w:tab/>
            <w:t>Place du Portage I</w:t>
          </w:r>
        </w:p>
        <w:p w:rsidR="006C312E" w:rsidRDefault="006C312E">
          <w:pPr>
            <w:pStyle w:val="Header"/>
            <w:tabs>
              <w:tab w:val="clear" w:pos="4320"/>
              <w:tab w:val="clear" w:pos="8640"/>
              <w:tab w:val="left" w:pos="1080"/>
              <w:tab w:val="left" w:pos="3420"/>
            </w:tabs>
            <w:ind w:firstLine="1080"/>
            <w:rPr>
              <w:lang w:val="fr-CA"/>
            </w:rPr>
          </w:pPr>
          <w:r>
            <w:rPr>
              <w:rFonts w:ascii="Arial" w:hAnsi="Arial" w:cs="Arial"/>
              <w:sz w:val="15"/>
              <w:lang w:val="fr-CA"/>
            </w:rPr>
            <w:t>Gatineau (Québec)   K1A 0C9</w:t>
          </w:r>
          <w:r>
            <w:rPr>
              <w:rFonts w:ascii="Arial" w:hAnsi="Arial" w:cs="Arial"/>
              <w:sz w:val="15"/>
              <w:lang w:val="fr-CA"/>
            </w:rPr>
            <w:tab/>
            <w:t>Gatineau, Quebec   K1A 0C9</w:t>
          </w:r>
        </w:p>
      </w:tc>
    </w:tr>
  </w:tbl>
  <w:p w:rsidR="006C312E" w:rsidRDefault="006C3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2E" w:rsidRDefault="006C3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
    <w:docVar w:name="sAssociatedMarksF" w:val="~"/>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A12D00"/>
    <w:rsid w:val="002531CE"/>
    <w:rsid w:val="00362383"/>
    <w:rsid w:val="00654FFB"/>
    <w:rsid w:val="006C312E"/>
    <w:rsid w:val="007705B4"/>
    <w:rsid w:val="008060C9"/>
    <w:rsid w:val="00A12D00"/>
    <w:rsid w:val="00D87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table" w:styleId="TableGrid">
    <w:name w:val="Table Grid"/>
    <w:basedOn w:val="TableNormal"/>
    <w:rsid w:val="0025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720"/>
        <w:tab w:val="center" w:pos="4320"/>
        <w:tab w:val="right" w:pos="8640"/>
      </w:tabs>
      <w:suppressAutoHyphens/>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paragraph" w:styleId="BalloonText">
    <w:name w:val="Balloon Text"/>
    <w:basedOn w:val="Normal"/>
    <w:link w:val="BalloonTextChar"/>
    <w:rsid w:val="00654FFB"/>
    <w:rPr>
      <w:rFonts w:ascii="Tahoma" w:hAnsi="Tahoma" w:cs="Tahoma"/>
      <w:sz w:val="16"/>
      <w:szCs w:val="16"/>
    </w:rPr>
  </w:style>
  <w:style w:type="character" w:customStyle="1" w:styleId="BalloonTextChar">
    <w:name w:val="Balloon Text Char"/>
    <w:basedOn w:val="DefaultParagraphFont"/>
    <w:link w:val="BalloonText"/>
    <w:rsid w:val="00654FFB"/>
    <w:rPr>
      <w:rFonts w:ascii="Tahoma" w:hAnsi="Tahoma" w:cs="Tahoma"/>
      <w:sz w:val="16"/>
      <w:szCs w:val="16"/>
      <w:lang w:val="en-US" w:eastAsia="en-US"/>
    </w:rPr>
  </w:style>
  <w:style w:type="table" w:styleId="TableGrid">
    <w:name w:val="Table Grid"/>
    <w:basedOn w:val="TableNormal"/>
    <w:rsid w:val="0025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Industry Canada  Trademarks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Teri: CIPO-OPIC</dc:creator>
  <cp:keywords/>
  <dc:description/>
  <cp:lastModifiedBy>Filip, Teri: CIPO-OPIC</cp:lastModifiedBy>
  <cp:revision>3</cp:revision>
  <cp:lastPrinted>2015-07-20T13:36:00Z</cp:lastPrinted>
  <dcterms:created xsi:type="dcterms:W3CDTF">2015-07-20T13:31:00Z</dcterms:created>
  <dcterms:modified xsi:type="dcterms:W3CDTF">2015-07-20T13:36:00Z</dcterms:modified>
</cp:coreProperties>
</file>